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1" w:line="187" w:lineRule="auto"/>
        <w:ind w:firstLine="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附件一：</w:t>
      </w:r>
    </w:p>
    <w:p>
      <w:pPr>
        <w:spacing w:line="244" w:lineRule="auto"/>
        <w:rPr>
          <w:rFonts w:ascii="Times New Roman"/>
          <w:sz w:val="21"/>
        </w:rPr>
      </w:pPr>
    </w:p>
    <w:p>
      <w:pPr>
        <w:spacing w:before="163" w:line="346" w:lineRule="auto"/>
        <w:ind w:left="3765" w:right="131" w:hanging="3723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ascii="华文中宋" w:hAnsi="华文中宋" w:eastAsia="华文中宋" w:cs="华文中宋"/>
          <w:spacing w:val="-2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北京理工大学“世纪杯”学生课外学术科技作品</w:t>
      </w:r>
      <w:r>
        <w:rPr>
          <w:rFonts w:ascii="华文中宋" w:hAnsi="华文中宋" w:eastAsia="华文中宋" w:cs="华文中宋"/>
          <w:spacing w:val="13"/>
          <w:sz w:val="44"/>
          <w:szCs w:val="44"/>
        </w:rPr>
        <w:t xml:space="preserve"> </w:t>
      </w:r>
      <w:r>
        <w:rPr>
          <w:rFonts w:ascii="华文中宋" w:hAnsi="华文中宋" w:eastAsia="华文中宋" w:cs="华文中宋"/>
          <w:spacing w:val="-5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竞赛章程</w:t>
      </w:r>
    </w:p>
    <w:bookmarkEnd w:id="0"/>
    <w:p>
      <w:pPr>
        <w:spacing w:line="406" w:lineRule="auto"/>
        <w:rPr>
          <w:rFonts w:ascii="Times New Roman"/>
          <w:sz w:val="21"/>
        </w:rPr>
      </w:pPr>
    </w:p>
    <w:p>
      <w:pPr>
        <w:spacing w:before="104" w:line="188" w:lineRule="auto"/>
        <w:ind w:firstLine="35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pacing w:before="297" w:line="360" w:lineRule="auto"/>
        <w:ind w:left="1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第一条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北京理工大学“世纪杯”学生课外学术科技作品竞赛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是由北京理工大学主办，校团委、学生创新创业实践中心共同承办，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每年举办一届。竞赛在各学院的大力支持下开展，具有导向性、示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范性和群众性并独具北理工特色、彰显北理工文化、践行素质教育、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弘扬创新精神的大学生课外科技创新活动。</w:t>
      </w:r>
    </w:p>
    <w:p>
      <w:pPr>
        <w:spacing w:line="274" w:lineRule="auto"/>
        <w:ind w:left="2" w:right="112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第二条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竞赛的宗旨：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崇尚科学、追求真知、勤奋学习、锐意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创新、服务奉献。</w:t>
      </w:r>
    </w:p>
    <w:p>
      <w:pPr>
        <w:spacing w:before="297" w:line="360" w:lineRule="auto"/>
        <w:ind w:right="110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第三条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竞赛的目的：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激发学生的学术科技兴趣，引导学生实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事求是、刻苦钻研的精神，提高学生的创新实践能力，培养在学术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科技上有作为、有潜力的优秀人才；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营造北理工校园良好的学术文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化氛围，形成具有北理工特色的大学文化。</w:t>
      </w:r>
    </w:p>
    <w:p>
      <w:pPr>
        <w:spacing w:line="360" w:lineRule="auto"/>
        <w:ind w:right="110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第四条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竞赛的基本方式：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我校学生以学院/书院为单位按照科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技发明制作、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自然科学类学术论文、哲学社会科学类社会调查报告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和学术论文等三类申报参赛；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聘请专家评定出具有较高科技及学术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理论水平、实际应用价值和创新意义的优秀作品，并给予奖励；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鼓</w:t>
      </w:r>
    </w:p>
    <w:p>
      <w:pPr>
        <w:sectPr>
          <w:footerReference r:id="rId5" w:type="default"/>
          <w:pgSz w:w="11906" w:h="16839"/>
          <w:pgMar w:top="1431" w:right="1137" w:bottom="1767" w:left="1381" w:header="0" w:footer="1545" w:gutter="0"/>
          <w:cols w:space="720" w:num="1"/>
        </w:sectPr>
      </w:pPr>
    </w:p>
    <w:p>
      <w:pPr>
        <w:spacing w:before="311" w:line="360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励作品发表，组织作品出版，组织学术交流和学术科技成果的展览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及成果转让与转化。</w:t>
      </w:r>
    </w:p>
    <w:p>
      <w:pPr>
        <w:spacing w:line="204" w:lineRule="auto"/>
        <w:ind w:firstLine="27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组织机构及其职责</w:t>
      </w:r>
    </w:p>
    <w:p>
      <w:pPr>
        <w:spacing w:before="268" w:line="341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第五条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竞赛设立组织委员会，由主管校领导党委办公室/行政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办公室、人力资源部、学生工作部、教务部、研究生院、科学技术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研究院、资产与实验室管理处、校团委、教师发展中心、学生就业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指导中心、学生创新创业实践中心相关负责人及各学院/书院主管学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生创新创业工作的院领导组成。组织委员会设主任一名，副主任若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干名，委员若干名，秘书一名。组委会成员负责指导竞赛活动，有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权对竞赛活动提出意见和建议，并根据各个项目类型的具体竞赛情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况调整各个项目类型评奖数量及比例，并对各学院提交的意见和建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议进行协调和裁决。</w:t>
      </w:r>
    </w:p>
    <w:p>
      <w:pPr>
        <w:spacing w:before="298" w:line="188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第六条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组织委员会的职责如下：</w:t>
      </w:r>
    </w:p>
    <w:p>
      <w:pPr>
        <w:spacing w:before="298" w:line="188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1．审议、修改竞赛的章程和评审规则；</w:t>
      </w:r>
    </w:p>
    <w:p>
      <w:pPr>
        <w:spacing w:before="298" w:line="188" w:lineRule="auto"/>
        <w:ind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2．协商议决组织工作中的重大问题；</w:t>
      </w:r>
    </w:p>
    <w:p>
      <w:pPr>
        <w:spacing w:before="298" w:line="188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3．筹集竞赛组织、评审、奖励所需的经费；</w:t>
      </w:r>
    </w:p>
    <w:p>
      <w:pPr>
        <w:spacing w:before="298" w:line="18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4．判定受到质疑和投诉的作品或作者；</w:t>
      </w:r>
    </w:p>
    <w:p>
      <w:pPr>
        <w:spacing w:before="298" w:line="188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5．议决其它应由组织委员会议决的事项。</w:t>
      </w:r>
    </w:p>
    <w:p>
      <w:pPr>
        <w:spacing w:before="298" w:line="360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第七条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评审委员会由竞赛组织委员会聘请校内外具有高级职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称或具有博士学位的相关专业专家、学者组成。评审委员会设主任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一名，副主任若干名，评审委员若干名，秘书一名。下设若干专业</w:t>
      </w:r>
    </w:p>
    <w:p>
      <w:pPr>
        <w:sectPr>
          <w:footerReference r:id="rId6" w:type="default"/>
          <w:pgSz w:w="11906" w:h="16839"/>
          <w:pgMar w:top="1431" w:right="1247" w:bottom="1767" w:left="1380" w:header="0" w:footer="1549" w:gutter="0"/>
          <w:cols w:space="720" w:num="1"/>
        </w:sectPr>
      </w:pPr>
    </w:p>
    <w:p>
      <w:pPr>
        <w:spacing w:before="312" w:line="188" w:lineRule="auto"/>
        <w:ind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组，各组设组长一至二名。</w:t>
      </w:r>
    </w:p>
    <w:p>
      <w:pPr>
        <w:spacing w:before="297" w:line="360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评审委员会一经组织委员会批准成立，则有权在本章程和评审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规则所规定的原则下，独立开展评审工作。</w:t>
      </w:r>
    </w:p>
    <w:p>
      <w:pPr>
        <w:spacing w:line="204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第八条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评审委员会职责如下：</w:t>
      </w:r>
    </w:p>
    <w:p>
      <w:pPr>
        <w:spacing w:before="270" w:line="188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1．在本章程和评审规则基础上制定评审实施细则；</w:t>
      </w:r>
    </w:p>
    <w:p>
      <w:pPr>
        <w:spacing w:before="298" w:line="188" w:lineRule="auto"/>
        <w:ind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2．审看参赛作品及其演示，对作者进行问辩及质询；</w:t>
      </w:r>
    </w:p>
    <w:p>
      <w:pPr>
        <w:spacing w:before="298" w:line="188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3．初步判定受到质疑和投诉的作品或作者；</w:t>
      </w:r>
    </w:p>
    <w:p>
      <w:pPr>
        <w:spacing w:before="298" w:line="18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4．在竞赛领导小组的协同下，确定获奖作品等次名单。</w:t>
      </w:r>
    </w:p>
    <w:p>
      <w:pPr>
        <w:spacing w:before="297" w:line="360" w:lineRule="auto"/>
        <w:ind w:left="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第九条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由各学院/书院主管学生、教学和科研工作的领导担任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本学院的竞赛领导小组成员，负责作品的动员和参赛；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原则上由各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学院/书院团委书记担任该学院领导小组的秘书。</w:t>
      </w:r>
    </w:p>
    <w:p>
      <w:pPr>
        <w:spacing w:line="258" w:lineRule="auto"/>
        <w:rPr>
          <w:rFonts w:ascii="Times New Roman"/>
          <w:sz w:val="21"/>
        </w:rPr>
      </w:pPr>
    </w:p>
    <w:p>
      <w:pPr>
        <w:spacing w:line="259" w:lineRule="auto"/>
        <w:rPr>
          <w:rFonts w:ascii="Times New Roman"/>
          <w:sz w:val="21"/>
        </w:rPr>
      </w:pPr>
    </w:p>
    <w:p>
      <w:pPr>
        <w:spacing w:before="105" w:line="188" w:lineRule="auto"/>
        <w:ind w:firstLine="25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参赛资格与作品申报</w:t>
      </w:r>
    </w:p>
    <w:p>
      <w:pPr>
        <w:spacing w:before="297" w:line="360" w:lineRule="auto"/>
        <w:ind w:left="2" w:right="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凡在竞赛当学期初正式注册的全日制非成人教育在校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本科生、硕士研究生（均不含在职研究生）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都可申报作品参赛。</w:t>
      </w:r>
    </w:p>
    <w:p>
      <w:pPr>
        <w:spacing w:line="360" w:lineRule="auto"/>
        <w:ind w:left="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第十一条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申报参赛的作品必须是竞赛终审决赛的前两年内完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成的学生学术科技作品或社会实践活动成果，可分为个人作品和集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体作品。申报个人作品的，申报者必须承担申报作品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60％以上的研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究工作，作品鉴定证书、专利证书及发表的有关作品上的署名均应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为第一作者，合作者必须是学生且不得超过两人；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凡作者超过三人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的项目或者不超过三人，但无法区分第一作者的项目，均须申报集</w:t>
      </w:r>
    </w:p>
    <w:p>
      <w:pPr>
        <w:sectPr>
          <w:footerReference r:id="rId7" w:type="default"/>
          <w:pgSz w:w="11906" w:h="16839"/>
          <w:pgMar w:top="1431" w:right="1247" w:bottom="1767" w:left="1380" w:header="0" w:footer="1549" w:gutter="0"/>
          <w:cols w:space="720" w:num="1"/>
        </w:sectPr>
      </w:pPr>
    </w:p>
    <w:p>
      <w:pPr>
        <w:spacing w:before="311" w:line="360" w:lineRule="auto"/>
        <w:ind w:left="1" w:right="1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体作品，集体作品的作者必须均为学生。凡有合作者的个人作品或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集体作品，均按学历最高的作者划分至本科生、硕士研究生类进行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评审。</w:t>
      </w:r>
    </w:p>
    <w:p>
      <w:pPr>
        <w:spacing w:line="204" w:lineRule="auto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毕业设计和课程设计（论文）、学年论文和学位论文均不在申报</w:t>
      </w:r>
    </w:p>
    <w:p>
      <w:pPr>
        <w:spacing w:before="270" w:line="188" w:lineRule="auto"/>
        <w:ind w:firstLine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范围之列。</w:t>
      </w:r>
    </w:p>
    <w:p>
      <w:pPr>
        <w:spacing w:before="297" w:line="360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第十二条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竞赛采用“分类申报、分类评比、综合评奖”的申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报和评审办法。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申报参赛的作品分为自然科学类学术论文、哲学社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会科学类社会调查报告和学术论文、科技发明制作三大类。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自然科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学类学术论文参赛人员仅限本科生，必须是该本科生参与的在学术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刊物上已公开发表或已录用的论文的全部或一部分。哲学社会科学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类社会调查报告和学术论文限定在哲学、经济、社会、法律、教育、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管理六个学科内，需在个人或团队社会调研取得第一手数据（问卷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调查、实际走访等形式）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的基础上完成。科技发明制作类分为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A、B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两类（A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类指科技含量较高、制作投入较大的作品；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B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类指投入较少，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且为生产技术或社会生活带来便利的小发明、小制作等</w:t>
      </w:r>
      <w:r>
        <w:rPr>
          <w:rFonts w:ascii="仿宋" w:hAnsi="仿宋" w:eastAsia="仿宋" w:cs="仿宋"/>
          <w:spacing w:val="-106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按照四个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项目类别申报：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机械控制、信息技术、材料化工、数理生命。</w:t>
      </w:r>
    </w:p>
    <w:p>
      <w:pPr>
        <w:spacing w:before="4" w:line="302" w:lineRule="auto"/>
        <w:ind w:right="110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原则上，科技发明制作类作品要求包含可运行展示的实物作品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和项目论文。跨学科的项目作品选择一项突出其最主要特点的类别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进行申报。</w:t>
      </w:r>
    </w:p>
    <w:p>
      <w:pPr>
        <w:spacing w:before="297" w:line="360" w:lineRule="auto"/>
        <w:ind w:left="5" w:right="110" w:firstLine="6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自然科学类学术论文应侧重基础学科学术探索的前沿性和学术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性。哲学社会科学类社会调查报告和学术论文应侧重与社会发展热</w:t>
      </w:r>
    </w:p>
    <w:p>
      <w:pPr>
        <w:sectPr>
          <w:footerReference r:id="rId8" w:type="default"/>
          <w:pgSz w:w="11906" w:h="16839"/>
          <w:pgMar w:top="1431" w:right="1137" w:bottom="1767" w:left="1381" w:header="0" w:footer="1545" w:gutter="0"/>
          <w:cols w:space="720" w:num="1"/>
        </w:sectPr>
      </w:pPr>
    </w:p>
    <w:p>
      <w:pPr>
        <w:spacing w:before="308" w:line="326" w:lineRule="auto"/>
        <w:ind w:right="95" w:firstLine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点难点问题的结合程度和前瞻意义，支持重走红色足迹、追溯红色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记忆、访谈红色人物、挖掘红色故事、体悟红色文化，感受党的红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色精神伟力；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支持返回家乡看变化、重走故地看新颜、深入乡村看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振兴、走进一线看发展，感受我国经济快速发展和社会长期稳定的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生动实践。科技发明制作应侧重作品的应用价值和转化前景。</w:t>
      </w:r>
    </w:p>
    <w:p>
      <w:pPr>
        <w:spacing w:before="297" w:line="360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第十三条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参赛作品涉及下列内容时，必须由申报者提供有关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部门的证明材料，否则不予评审。动植物新品种的发现或培育，须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有省级以上农科部门或科研院所开具证明；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对国家保护动植物的研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究，须有省级以上林业部门开具证明，证明该项研究的过程中未产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生对所研究的动植物繁衍、生长不利的影响；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新药物的研究,须有卫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生行政部门授权机构的鉴定证明；</w:t>
      </w:r>
      <w:r>
        <w:rPr>
          <w:rFonts w:ascii="仿宋" w:hAnsi="仿宋" w:eastAsia="仿宋" w:cs="仿宋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医疗卫生研究须通过专家鉴定，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并最好附有在公开发行的专业性杂志上发表过的文章；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涉及燃气用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具等与人民生命财产安全有关用具的研究，须有国家相应行政部门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授权机构的认定证明。为党政机关、企事业单位所做的各类发展规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划、改革方案和咨询报告等的作品也可申请参加哲学社会科学类竞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赛。包含已被采用的发展规划、改革方案和咨询报告等内容的作品，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须同时附上原件及采用单位使用证明的复印件和有关鉴定材料。</w:t>
      </w:r>
    </w:p>
    <w:p>
      <w:pPr>
        <w:spacing w:before="6" w:line="359" w:lineRule="auto"/>
        <w:ind w:left="4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第十四条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考虑到优秀作品需要连续积累和较长时间的制作， </w:t>
      </w:r>
      <w:r>
        <w:rPr>
          <w:rFonts w:ascii="仿宋" w:hAnsi="仿宋" w:eastAsia="仿宋" w:cs="仿宋"/>
          <w:spacing w:val="-1"/>
          <w:sz w:val="32"/>
          <w:szCs w:val="32"/>
        </w:rPr>
        <w:t>部分创新点比较突出、有望取得较大成果的往届部分科技发明制作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类作品，如有重大改进和提高，经学院严格评审并报组委会批准后，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可再次参加“世纪杯”竞赛。在申报时，要提前说明本次参加竞赛</w:t>
      </w:r>
    </w:p>
    <w:p>
      <w:pPr>
        <w:sectPr>
          <w:footerReference r:id="rId9" w:type="default"/>
          <w:pgSz w:w="11906" w:h="16839"/>
          <w:pgMar w:top="1431" w:right="1152" w:bottom="1767" w:left="1378" w:header="0" w:footer="1549" w:gutter="0"/>
          <w:cols w:space="720" w:num="1"/>
        </w:sectPr>
      </w:pPr>
    </w:p>
    <w:p>
      <w:pPr>
        <w:spacing w:before="310" w:line="341" w:lineRule="auto"/>
        <w:ind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评审是作品整体参评还是仅就作品新做出的重大改进与提高部分参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评。当项目的第一作者未发生变化时，该项目既可以整体参评也可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以仅就作品新做出的重大改进与提高部分参评。此时如果项目整体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参评,则参加本次项目的前次作者只能在两次的评审结果中选择一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次的评审结果作为奖励，其他新加入的作者将以本次评审结果为奖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励；</w:t>
      </w:r>
      <w:r>
        <w:rPr>
          <w:rFonts w:ascii="仿宋" w:hAnsi="仿宋" w:eastAsia="仿宋" w:cs="仿宋"/>
          <w:spacing w:val="9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如果仅就作品新做出的重大改进与提高部分参评，则本次所获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奖项与前次无关。当项目第一作者发生变化时，该项目只能就作品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新做出的重大改进与提高部分参评，不能整体参评，所获奖项与前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次获得奖项无关。</w:t>
      </w:r>
    </w:p>
    <w:p>
      <w:pPr>
        <w:spacing w:before="297" w:line="360" w:lineRule="auto"/>
        <w:ind w:left="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第十五条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科技发明制作类作品必须附带项目论文，论文须按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统一格式书写，字数在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3000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字以上，论文评分记入作品总分。自然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科学类论文须为相关基础学科领域的研究论文，科技发明制作类项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目的论文原则上不能申报自然科学类论文的评审评奖。哲学社会科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学类作品若为调查报告，每篇字数在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8000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至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15000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字之间，若为学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术论文，每篇字数在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5000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至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8000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字之间。英文论文在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4000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单词以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上，同时必须提交中文对照版论文。</w:t>
      </w:r>
    </w:p>
    <w:p>
      <w:pPr>
        <w:spacing w:before="3" w:line="302" w:lineRule="auto"/>
        <w:ind w:left="7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第十六条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原则上，对于各类参赛作品，第一作者的工作量应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不低于整个项目工作量的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40%，其余作者要求每个人的工作量不低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于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10%。</w:t>
      </w:r>
    </w:p>
    <w:p>
      <w:pPr>
        <w:spacing w:before="297" w:line="360" w:lineRule="auto"/>
        <w:ind w:left="1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第十八条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各参赛作品须由第一作者申报，不得由其他作者重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复申报。</w:t>
      </w:r>
    </w:p>
    <w:p>
      <w:pPr>
        <w:sectPr>
          <w:footerReference r:id="rId10" w:type="default"/>
          <w:pgSz w:w="11906" w:h="16839"/>
          <w:pgMar w:top="1431" w:right="1247" w:bottom="1767" w:left="1380" w:header="0" w:footer="1545" w:gutter="0"/>
          <w:cols w:space="720" w:num="1"/>
        </w:sectPr>
      </w:pPr>
    </w:p>
    <w:p>
      <w:pPr>
        <w:spacing w:before="312" w:line="188" w:lineRule="auto"/>
        <w:ind w:firstLine="32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评审与奖励</w:t>
      </w:r>
    </w:p>
    <w:p>
      <w:pPr>
        <w:spacing w:before="294" w:line="343" w:lineRule="auto"/>
        <w:ind w:right="107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第十八条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综合考虑作品的科学性、创新性、实用性，评审委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员会对参赛作品按照第十二条中所述三大项目类型分类分组评审，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本科生、研究生作品按照组别单独评奖。在七个项目类型中均设特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等奖、一等奖、二等奖、三等奖，特等奖的产生必须经过答辩并由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组委会和评委会的合议产生，可以空缺。学术科技作品竞赛各奖项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的项目数量按照参赛身份和比例来授予各个奖项，其中本科生获奖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项目分别不得超过该类参赛作品总数的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2%、6%、12%、20%，研究生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获奖项目分别不得超过该类参赛作品总数的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1%、4%、15%、20%。竞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赛组委会经过全体讨论通过，可以根据实际情况调整一、二等奖获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奖比例，调整比例不得多于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2％。</w:t>
      </w:r>
    </w:p>
    <w:p>
      <w:pPr>
        <w:spacing w:before="298" w:line="274" w:lineRule="auto"/>
        <w:ind w:left="6" w:right="110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第十九条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确认资格有效的获奖作品，由竞赛组织委员会向作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者颁发获奖证书。</w:t>
      </w:r>
    </w:p>
    <w:p>
      <w:pPr>
        <w:spacing w:before="297" w:line="360" w:lineRule="auto"/>
        <w:ind w:right="11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第二十条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竞赛以作品推荐学院/书院为单位计算参赛得分，总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分为所有参与计分项目数得分总和。参与计分项目数由组委会根据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各院系审查合格后的实际项目总数，按照分组确定参与计分项目名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额。</w:t>
      </w:r>
    </w:p>
    <w:p>
      <w:pPr>
        <w:spacing w:before="1" w:line="201" w:lineRule="auto"/>
        <w:ind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A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组单位：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宇航学院、机电学院、机械与车辆学院、光电学院、</w:t>
      </w:r>
    </w:p>
    <w:p>
      <w:pPr>
        <w:spacing w:before="274" w:line="360" w:lineRule="auto"/>
        <w:ind w:left="7" w:right="110" w:hanging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信息与电子学院、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自动化学院、计算机学院、材料学院、化学与化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工学院、生命学院、精工书院、睿信书院、求是书院</w:t>
      </w:r>
    </w:p>
    <w:p>
      <w:pPr>
        <w:spacing w:before="1" w:line="201" w:lineRule="auto"/>
        <w:ind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B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组单位：</w:t>
      </w:r>
      <w:r>
        <w:rPr>
          <w:rFonts w:ascii="仿宋" w:hAnsi="仿宋" w:eastAsia="仿宋" w:cs="仿宋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数学与统计学院、物理学院、管理与经济学院、人</w:t>
      </w:r>
    </w:p>
    <w:p>
      <w:pPr>
        <w:sectPr>
          <w:footerReference r:id="rId11" w:type="default"/>
          <w:pgSz w:w="11906" w:h="16839"/>
          <w:pgMar w:top="1431" w:right="1137" w:bottom="1767" w:left="1380" w:header="0" w:footer="1545" w:gutter="0"/>
          <w:cols w:space="720" w:num="1"/>
        </w:sectPr>
      </w:pPr>
    </w:p>
    <w:p>
      <w:pPr>
        <w:spacing w:before="310" w:line="303" w:lineRule="auto"/>
        <w:ind w:left="24" w:right="1" w:hanging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文与社会科学学院、法学院、外语学院、设计与艺术学院、徐特立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学院、明德书院、经管书院、知艺书院、特立书院、北京书院、令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闻书院</w:t>
      </w:r>
    </w:p>
    <w:p>
      <w:pPr>
        <w:spacing w:line="142" w:lineRule="exact"/>
      </w:pPr>
    </w:p>
    <w:tbl>
      <w:tblPr>
        <w:tblStyle w:val="4"/>
        <w:tblW w:w="926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2346"/>
        <w:gridCol w:w="1922"/>
        <w:gridCol w:w="2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46" w:type="dxa"/>
            <w:gridSpan w:val="2"/>
            <w:vAlign w:val="top"/>
          </w:tcPr>
          <w:p>
            <w:pPr>
              <w:spacing w:before="160" w:line="188" w:lineRule="auto"/>
              <w:ind w:firstLine="12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A</w:t>
            </w:r>
            <w:r>
              <w:rPr>
                <w:rFonts w:ascii="仿宋" w:hAnsi="仿宋" w:eastAsia="仿宋" w:cs="仿宋"/>
                <w:spacing w:val="-54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组学院/书院</w:t>
            </w:r>
          </w:p>
        </w:tc>
        <w:tc>
          <w:tcPr>
            <w:tcW w:w="1922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Times New Roman"/>
                <w:sz w:val="21"/>
              </w:rPr>
            </w:pPr>
          </w:p>
          <w:p>
            <w:pPr>
              <w:spacing w:before="104" w:line="188" w:lineRule="auto"/>
              <w:ind w:firstLine="1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B</w:t>
            </w:r>
            <w:r>
              <w:rPr>
                <w:rFonts w:ascii="仿宋" w:hAnsi="仿宋" w:eastAsia="仿宋" w:cs="仿宋"/>
                <w:spacing w:val="-5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组学院/书</w:t>
            </w:r>
          </w:p>
          <w:p>
            <w:pPr>
              <w:spacing w:before="298" w:line="188" w:lineRule="auto"/>
              <w:ind w:firstLine="19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院项目总数</w:t>
            </w:r>
          </w:p>
        </w:tc>
        <w:tc>
          <w:tcPr>
            <w:tcW w:w="2900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Times New Roman"/>
                <w:sz w:val="21"/>
              </w:rPr>
            </w:pPr>
          </w:p>
          <w:p>
            <w:pPr>
              <w:spacing w:line="340" w:lineRule="auto"/>
              <w:rPr>
                <w:rFonts w:ascii="Times New Roman"/>
                <w:sz w:val="21"/>
              </w:rPr>
            </w:pPr>
          </w:p>
          <w:p>
            <w:pPr>
              <w:spacing w:before="104" w:line="188" w:lineRule="auto"/>
              <w:ind w:firstLine="1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参与计分项目名额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00" w:type="dxa"/>
            <w:vAlign w:val="top"/>
          </w:tcPr>
          <w:p>
            <w:pPr>
              <w:spacing w:line="361" w:lineRule="auto"/>
              <w:rPr>
                <w:rFonts w:ascii="Times New Roman"/>
                <w:sz w:val="21"/>
              </w:rPr>
            </w:pPr>
          </w:p>
          <w:p>
            <w:pPr>
              <w:spacing w:before="104" w:line="188" w:lineRule="auto"/>
              <w:ind w:firstLine="42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项目总数</w:t>
            </w:r>
          </w:p>
        </w:tc>
        <w:tc>
          <w:tcPr>
            <w:tcW w:w="2346" w:type="dxa"/>
            <w:vAlign w:val="top"/>
          </w:tcPr>
          <w:p>
            <w:pPr>
              <w:spacing w:before="155" w:line="274" w:lineRule="auto"/>
              <w:ind w:left="714" w:right="210" w:hanging="48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科技发明制作</w:t>
            </w:r>
            <w:r>
              <w:rPr>
                <w:rFonts w:ascii="仿宋" w:hAnsi="仿宋" w:eastAsia="仿宋" w:cs="仿宋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类总数</w:t>
            </w:r>
          </w:p>
        </w:tc>
        <w:tc>
          <w:tcPr>
            <w:tcW w:w="1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00" w:type="dxa"/>
            <w:vAlign w:val="top"/>
          </w:tcPr>
          <w:p>
            <w:pPr>
              <w:spacing w:before="156" w:line="188" w:lineRule="auto"/>
              <w:ind w:firstLine="7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1"/>
                <w:sz w:val="32"/>
                <w:szCs w:val="32"/>
              </w:rPr>
              <w:t>≤14</w:t>
            </w:r>
          </w:p>
        </w:tc>
        <w:tc>
          <w:tcPr>
            <w:tcW w:w="2346" w:type="dxa"/>
            <w:vAlign w:val="top"/>
          </w:tcPr>
          <w:p>
            <w:pPr>
              <w:spacing w:before="156" w:line="188" w:lineRule="auto"/>
              <w:ind w:firstLine="5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不少于</w:t>
            </w:r>
            <w:r>
              <w:rPr>
                <w:rFonts w:ascii="仿宋" w:hAnsi="仿宋" w:eastAsia="仿宋" w:cs="仿宋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10</w:t>
            </w:r>
          </w:p>
        </w:tc>
        <w:tc>
          <w:tcPr>
            <w:tcW w:w="1922" w:type="dxa"/>
            <w:vAlign w:val="top"/>
          </w:tcPr>
          <w:p>
            <w:pPr>
              <w:spacing w:before="156" w:line="188" w:lineRule="auto"/>
              <w:ind w:firstLine="75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≤9</w:t>
            </w:r>
          </w:p>
        </w:tc>
        <w:tc>
          <w:tcPr>
            <w:tcW w:w="2900" w:type="dxa"/>
            <w:vAlign w:val="top"/>
          </w:tcPr>
          <w:p>
            <w:pPr>
              <w:spacing w:before="210" w:line="180" w:lineRule="auto"/>
              <w:ind w:firstLine="138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00" w:type="dxa"/>
            <w:vAlign w:val="top"/>
          </w:tcPr>
          <w:p>
            <w:pPr>
              <w:spacing w:before="209" w:line="180" w:lineRule="auto"/>
              <w:ind w:firstLine="60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15—29</w:t>
            </w:r>
          </w:p>
        </w:tc>
        <w:tc>
          <w:tcPr>
            <w:tcW w:w="2346" w:type="dxa"/>
            <w:vAlign w:val="top"/>
          </w:tcPr>
          <w:p>
            <w:pPr>
              <w:spacing w:before="155" w:line="188" w:lineRule="auto"/>
              <w:ind w:firstLine="5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不少于</w:t>
            </w:r>
            <w:r>
              <w:rPr>
                <w:rFonts w:ascii="仿宋" w:hAnsi="仿宋" w:eastAsia="仿宋" w:cs="仿宋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15</w:t>
            </w:r>
          </w:p>
        </w:tc>
        <w:tc>
          <w:tcPr>
            <w:tcW w:w="1922" w:type="dxa"/>
            <w:vAlign w:val="top"/>
          </w:tcPr>
          <w:p>
            <w:pPr>
              <w:spacing w:before="209" w:line="180" w:lineRule="auto"/>
              <w:ind w:firstLine="51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10—19</w:t>
            </w:r>
          </w:p>
        </w:tc>
        <w:tc>
          <w:tcPr>
            <w:tcW w:w="2900" w:type="dxa"/>
            <w:vAlign w:val="top"/>
          </w:tcPr>
          <w:p>
            <w:pPr>
              <w:spacing w:before="210" w:line="180" w:lineRule="auto"/>
              <w:ind w:firstLine="137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00" w:type="dxa"/>
            <w:vAlign w:val="top"/>
          </w:tcPr>
          <w:p>
            <w:pPr>
              <w:spacing w:before="210" w:line="180" w:lineRule="auto"/>
              <w:ind w:firstLine="58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30—44</w:t>
            </w:r>
          </w:p>
        </w:tc>
        <w:tc>
          <w:tcPr>
            <w:tcW w:w="2346" w:type="dxa"/>
            <w:vAlign w:val="top"/>
          </w:tcPr>
          <w:p>
            <w:pPr>
              <w:spacing w:before="156" w:line="188" w:lineRule="auto"/>
              <w:ind w:firstLine="5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0"/>
                <w:sz w:val="32"/>
                <w:szCs w:val="32"/>
              </w:rPr>
              <w:t>不少于</w:t>
            </w:r>
            <w:r>
              <w:rPr>
                <w:rFonts w:ascii="仿宋" w:hAnsi="仿宋" w:eastAsia="仿宋" w:cs="仿宋"/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2"/>
                <w:szCs w:val="32"/>
              </w:rPr>
              <w:t>30</w:t>
            </w:r>
          </w:p>
        </w:tc>
        <w:tc>
          <w:tcPr>
            <w:tcW w:w="1922" w:type="dxa"/>
            <w:vAlign w:val="top"/>
          </w:tcPr>
          <w:p>
            <w:pPr>
              <w:spacing w:before="210" w:line="180" w:lineRule="auto"/>
              <w:ind w:firstLine="49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20—29</w:t>
            </w:r>
          </w:p>
        </w:tc>
        <w:tc>
          <w:tcPr>
            <w:tcW w:w="2900" w:type="dxa"/>
            <w:vAlign w:val="top"/>
          </w:tcPr>
          <w:p>
            <w:pPr>
              <w:spacing w:before="213" w:line="180" w:lineRule="auto"/>
              <w:ind w:firstLine="138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00" w:type="dxa"/>
            <w:vAlign w:val="top"/>
          </w:tcPr>
          <w:p>
            <w:pPr>
              <w:spacing w:before="213" w:line="180" w:lineRule="auto"/>
              <w:ind w:firstLine="57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45—69</w:t>
            </w:r>
          </w:p>
        </w:tc>
        <w:tc>
          <w:tcPr>
            <w:tcW w:w="2346" w:type="dxa"/>
            <w:vAlign w:val="top"/>
          </w:tcPr>
          <w:p>
            <w:pPr>
              <w:spacing w:before="159" w:line="188" w:lineRule="auto"/>
              <w:ind w:firstLine="5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不少于</w:t>
            </w:r>
            <w:r>
              <w:rPr>
                <w:rFonts w:ascii="仿宋" w:hAnsi="仿宋" w:eastAsia="仿宋" w:cs="仿宋"/>
                <w:spacing w:val="-6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45</w:t>
            </w:r>
          </w:p>
        </w:tc>
        <w:tc>
          <w:tcPr>
            <w:tcW w:w="1922" w:type="dxa"/>
            <w:vAlign w:val="top"/>
          </w:tcPr>
          <w:p>
            <w:pPr>
              <w:spacing w:before="213" w:line="180" w:lineRule="auto"/>
              <w:ind w:firstLine="49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30—39</w:t>
            </w:r>
          </w:p>
        </w:tc>
        <w:tc>
          <w:tcPr>
            <w:tcW w:w="2900" w:type="dxa"/>
            <w:vAlign w:val="top"/>
          </w:tcPr>
          <w:p>
            <w:pPr>
              <w:spacing w:before="213" w:line="180" w:lineRule="auto"/>
              <w:ind w:firstLine="13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00" w:type="dxa"/>
            <w:vAlign w:val="top"/>
          </w:tcPr>
          <w:p>
            <w:pPr>
              <w:spacing w:before="212" w:line="180" w:lineRule="auto"/>
              <w:ind w:firstLine="58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70—99</w:t>
            </w:r>
          </w:p>
        </w:tc>
        <w:tc>
          <w:tcPr>
            <w:tcW w:w="2346" w:type="dxa"/>
            <w:vAlign w:val="top"/>
          </w:tcPr>
          <w:p>
            <w:pPr>
              <w:spacing w:before="159" w:line="188" w:lineRule="auto"/>
              <w:ind w:firstLine="5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0"/>
                <w:sz w:val="32"/>
                <w:szCs w:val="32"/>
              </w:rPr>
              <w:t>不少于</w:t>
            </w:r>
            <w:r>
              <w:rPr>
                <w:rFonts w:ascii="仿宋" w:hAnsi="仿宋" w:eastAsia="仿宋" w:cs="仿宋"/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2"/>
                <w:szCs w:val="32"/>
              </w:rPr>
              <w:t>70</w:t>
            </w:r>
          </w:p>
        </w:tc>
        <w:tc>
          <w:tcPr>
            <w:tcW w:w="1922" w:type="dxa"/>
            <w:vAlign w:val="top"/>
          </w:tcPr>
          <w:p>
            <w:pPr>
              <w:spacing w:before="212" w:line="180" w:lineRule="auto"/>
              <w:ind w:firstLine="48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40—49</w:t>
            </w:r>
          </w:p>
        </w:tc>
        <w:tc>
          <w:tcPr>
            <w:tcW w:w="2900" w:type="dxa"/>
            <w:vAlign w:val="top"/>
          </w:tcPr>
          <w:p>
            <w:pPr>
              <w:spacing w:before="216" w:line="180" w:lineRule="auto"/>
              <w:ind w:firstLine="138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00" w:type="dxa"/>
            <w:vAlign w:val="top"/>
          </w:tcPr>
          <w:p>
            <w:pPr>
              <w:spacing w:before="159" w:line="188" w:lineRule="auto"/>
              <w:ind w:firstLine="69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1"/>
                <w:sz w:val="32"/>
                <w:szCs w:val="32"/>
              </w:rPr>
              <w:t>≥100</w:t>
            </w:r>
          </w:p>
        </w:tc>
        <w:tc>
          <w:tcPr>
            <w:tcW w:w="2346" w:type="dxa"/>
            <w:vAlign w:val="top"/>
          </w:tcPr>
          <w:p>
            <w:pPr>
              <w:spacing w:before="159" w:line="188" w:lineRule="auto"/>
              <w:ind w:firstLine="5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不少于</w:t>
            </w:r>
            <w:r>
              <w:rPr>
                <w:rFonts w:ascii="仿宋" w:hAnsi="仿宋" w:eastAsia="仿宋" w:cs="仿宋"/>
                <w:spacing w:val="-6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80</w:t>
            </w:r>
          </w:p>
        </w:tc>
        <w:tc>
          <w:tcPr>
            <w:tcW w:w="1922" w:type="dxa"/>
            <w:vAlign w:val="top"/>
          </w:tcPr>
          <w:p>
            <w:pPr>
              <w:spacing w:before="159" w:line="188" w:lineRule="auto"/>
              <w:ind w:firstLine="68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≥50</w:t>
            </w:r>
          </w:p>
        </w:tc>
        <w:tc>
          <w:tcPr>
            <w:tcW w:w="2900" w:type="dxa"/>
            <w:vAlign w:val="top"/>
          </w:tcPr>
          <w:p>
            <w:pPr>
              <w:spacing w:before="213" w:line="180" w:lineRule="auto"/>
              <w:ind w:firstLine="137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</w:p>
        </w:tc>
      </w:tr>
    </w:tbl>
    <w:p>
      <w:pPr>
        <w:spacing w:before="154" w:line="188" w:lineRule="auto"/>
        <w:ind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参与计分项目的分数核算办法：</w:t>
      </w:r>
    </w:p>
    <w:p>
      <w:pPr>
        <w:spacing w:before="298" w:line="188" w:lineRule="auto"/>
        <w:ind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“世纪杯”学生学术科技作品竞赛项目得分满分为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800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分。</w:t>
      </w:r>
    </w:p>
    <w:p>
      <w:pPr>
        <w:spacing w:before="297" w:line="360" w:lineRule="auto"/>
        <w:ind w:right="1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每项获奖作品得分为：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特等奖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100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分，一等奖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70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分，二等奖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40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分，三等奖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分。</w:t>
      </w:r>
    </w:p>
    <w:p>
      <w:pPr>
        <w:spacing w:before="1" w:line="204" w:lineRule="auto"/>
        <w:ind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哲学社会科学类获奖作品得分为：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特等奖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分，一等奖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50</w:t>
      </w:r>
    </w:p>
    <w:p>
      <w:pPr>
        <w:spacing w:before="270" w:line="188" w:lineRule="auto"/>
        <w:ind w:firstLine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分，二等奖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分，三等奖不算分。</w:t>
      </w:r>
    </w:p>
    <w:p>
      <w:pPr>
        <w:spacing w:before="298" w:line="360" w:lineRule="auto"/>
        <w:ind w:left="16" w:right="3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第二十一条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获奖项目作者有责任和义务在学校相关部门的组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织下，参加科技展示、科普展览等各类大学生科技创新活动。</w:t>
      </w:r>
    </w:p>
    <w:p>
      <w:pPr>
        <w:spacing w:line="204" w:lineRule="auto"/>
        <w:ind w:firstLine="35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ectPr>
          <w:footerReference r:id="rId12" w:type="default"/>
          <w:pgSz w:w="11906" w:h="16839"/>
          <w:pgMar w:top="1431" w:right="1246" w:bottom="1767" w:left="1370" w:header="0" w:footer="1544" w:gutter="0"/>
          <w:cols w:space="720" w:num="1"/>
        </w:sectPr>
      </w:pPr>
    </w:p>
    <w:p>
      <w:pPr>
        <w:spacing w:before="308" w:line="32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第二十二条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对获奖的作品，竞赛结束后保留一个月的质疑投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诉期。若收到投诉，竞赛组委会将委托有关部门进行调查。经调查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确认该作品资格不符，取消该作品获得的奖励，重新计算作者所在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学院/书院总分及名次，取消该学院所获的优秀组织奖；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并视情节轻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重，根据相关规定分别给予作者和其他有关人员相应的处罚。</w:t>
      </w:r>
    </w:p>
    <w:p>
      <w:pPr>
        <w:spacing w:before="297" w:line="360" w:lineRule="auto"/>
        <w:ind w:left="10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第二十三条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本章程自北京理工大学“世纪杯”竞赛组织委员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会审议通过之日起生效，本条例解释权归“世纪杯”竞赛组织委员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会所有。</w:t>
      </w:r>
    </w:p>
    <w:p>
      <w:pPr>
        <w:sectPr>
          <w:footerReference r:id="rId13" w:type="default"/>
          <w:pgSz w:w="11906" w:h="16839"/>
          <w:pgMar w:top="1431" w:right="1247" w:bottom="1767" w:left="1381" w:header="0" w:footer="154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7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10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4155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2"/>
        <w:position w:val="-2"/>
        <w:sz w:val="32"/>
        <w:szCs w:val="32"/>
      </w:rPr>
      <w:t>—</w:t>
    </w:r>
    <w:r>
      <w:rPr>
        <w:rFonts w:ascii="等线" w:hAnsi="等线" w:eastAsia="等线" w:cs="等线"/>
        <w:spacing w:val="-50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2"/>
        <w:position w:val="-2"/>
        <w:sz w:val="32"/>
        <w:szCs w:val="32"/>
      </w:rPr>
      <w:t>11</w:t>
    </w:r>
    <w:r>
      <w:rPr>
        <w:rFonts w:ascii="等线" w:hAnsi="等线" w:eastAsia="等线" w:cs="等线"/>
        <w:spacing w:val="-12"/>
        <w:position w:val="-2"/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12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7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13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4151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14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15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16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5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17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7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  <w:r>
      <w:rPr>
        <w:rFonts w:ascii="等线" w:hAnsi="等线" w:eastAsia="等线" w:cs="等线"/>
        <w:spacing w:val="-48"/>
        <w:position w:val="-2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0"/>
        <w:position w:val="-2"/>
        <w:sz w:val="32"/>
        <w:szCs w:val="32"/>
      </w:rPr>
      <w:t>18</w:t>
    </w:r>
    <w:r>
      <w:rPr>
        <w:rFonts w:ascii="等线" w:hAnsi="等线" w:eastAsia="等线" w:cs="等线"/>
        <w:spacing w:val="-10"/>
        <w:position w:val="-2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B43E9"/>
    <w:rsid w:val="0D7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2022-03-16T03:44:00Z</dcterms:created>
  <dc:creator>HIJK</dc:creator>
  <cp:lastModifiedBy>HIJK</cp:lastModifiedBy>
  <dcterms:modified xsi:type="dcterms:W3CDTF">2022-03-16T04:01:16Z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F15541D06B384D0ABE9F00F995891018</vt:lpwstr>
  </property>
</Properties>
</file>