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5" w:after="0" w:line="240" w:lineRule="auto"/>
        <w:ind w:left="220" w:right="0" w:firstLine="0"/>
        <w:jc w:val="left"/>
        <w:rPr>
          <w:rFonts w:hint="eastAsia" w:ascii="宋体" w:hAnsi="仿宋" w:eastAsia="宋体" w:cs="仿宋"/>
          <w:kern w:val="0"/>
          <w:sz w:val="24"/>
          <w:szCs w:val="22"/>
          <w:lang w:val="zh-CN" w:bidi="zh-CN"/>
        </w:rPr>
      </w:pPr>
      <w:r>
        <w:rPr>
          <w:rFonts w:hint="eastAsia" w:ascii="宋体" w:hAnsi="仿宋" w:eastAsia="宋体" w:cs="仿宋"/>
          <w:kern w:val="0"/>
          <w:sz w:val="24"/>
          <w:szCs w:val="22"/>
          <w:lang w:val="zh-CN" w:bidi="zh-CN"/>
        </w:rPr>
        <w:t>附件：</w:t>
      </w:r>
      <w:bookmarkStart w:id="0" w:name="_GoBack"/>
      <w:bookmarkEnd w:id="0"/>
    </w:p>
    <w:p>
      <w:pPr>
        <w:autoSpaceDE w:val="0"/>
        <w:autoSpaceDN w:val="0"/>
        <w:spacing w:before="226" w:after="0" w:line="620" w:lineRule="atLeast"/>
        <w:ind w:left="1904" w:right="2121" w:hanging="1685"/>
        <w:jc w:val="left"/>
        <w:rPr>
          <w:rFonts w:hint="eastAsia" w:ascii="宋体" w:hAnsi="仿宋" w:eastAsia="宋体" w:cs="仿宋"/>
          <w:b/>
          <w:kern w:val="0"/>
          <w:sz w:val="28"/>
          <w:szCs w:val="22"/>
          <w:lang w:val="zh-CN" w:bidi="zh-CN"/>
        </w:rPr>
      </w:pPr>
      <w:r>
        <w:rPr>
          <w:rFonts w:ascii="仿宋" w:hAnsi="仿宋" w:eastAsia="仿宋" w:cs="仿宋"/>
          <w:kern w:val="0"/>
          <w:sz w:val="22"/>
          <w:szCs w:val="22"/>
          <w:lang w:val="zh-CN" w:bidi="zh-CN"/>
        </w:rPr>
        <w:br w:type="column"/>
      </w:r>
      <w:r>
        <w:rPr>
          <w:rFonts w:hint="eastAsia" w:ascii="宋体" w:hAnsi="仿宋" w:eastAsia="宋体" w:cs="仿宋"/>
          <w:b/>
          <w:kern w:val="0"/>
          <w:sz w:val="28"/>
          <w:szCs w:val="22"/>
          <w:lang w:val="zh-CN" w:bidi="zh-CN"/>
        </w:rPr>
        <w:t>首届全国智能驾驶测试赛（北京赛区） 参赛报名表</w:t>
      </w:r>
    </w:p>
    <w:p>
      <w:pPr>
        <w:tabs>
          <w:tab w:val="left" w:pos="5070"/>
          <w:tab w:val="left" w:pos="5804"/>
          <w:tab w:val="left" w:pos="6541"/>
        </w:tabs>
        <w:autoSpaceDE w:val="0"/>
        <w:autoSpaceDN w:val="0"/>
        <w:spacing w:before="157" w:after="0" w:line="240" w:lineRule="auto"/>
        <w:ind w:left="3284" w:right="0" w:firstLine="0"/>
        <w:jc w:val="left"/>
        <w:rPr>
          <w:rFonts w:ascii="仿宋" w:hAnsi="仿宋" w:eastAsia="仿宋" w:cs="仿宋"/>
          <w:kern w:val="0"/>
          <w:sz w:val="21"/>
          <w:szCs w:val="22"/>
          <w:lang w:val="zh-CN" w:bidi="zh-CN"/>
        </w:rPr>
      </w:pP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>提交日期：</w:t>
      </w: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ab/>
      </w: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>年</w:t>
      </w: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ab/>
      </w: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>月</w:t>
      </w: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ab/>
      </w:r>
      <w:r>
        <w:rPr>
          <w:rFonts w:ascii="仿宋" w:hAnsi="仿宋" w:eastAsia="仿宋" w:cs="仿宋"/>
          <w:kern w:val="0"/>
          <w:sz w:val="21"/>
          <w:szCs w:val="22"/>
          <w:lang w:val="zh-CN" w:bidi="zh-CN"/>
        </w:rPr>
        <w:t>日</w:t>
      </w:r>
    </w:p>
    <w:p>
      <w:pPr>
        <w:spacing w:after="0"/>
        <w:jc w:val="left"/>
        <w:rPr>
          <w:sz w:val="21"/>
        </w:rPr>
        <w:sectPr>
          <w:pgSz w:w="11910" w:h="16840"/>
          <w:pgMar w:top="1380" w:right="1440" w:bottom="280" w:left="1580" w:header="720" w:footer="720" w:gutter="0"/>
          <w:cols w:equalWidth="0" w:num="2">
            <w:col w:w="981" w:space="783"/>
            <w:col w:w="7126"/>
          </w:cols>
        </w:sectPr>
      </w:pPr>
    </w:p>
    <w:tbl>
      <w:tblPr>
        <w:tblStyle w:val="2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245"/>
        <w:gridCol w:w="606"/>
        <w:gridCol w:w="805"/>
        <w:gridCol w:w="263"/>
        <w:gridCol w:w="3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95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名称（盖章）</w:t>
            </w:r>
          </w:p>
        </w:tc>
        <w:tc>
          <w:tcPr>
            <w:tcW w:w="7131" w:type="dxa"/>
            <w:gridSpan w:val="5"/>
          </w:tcPr>
          <w:p>
            <w:pPr>
              <w:widowControl w:val="0"/>
              <w:autoSpaceDE w:val="0"/>
              <w:autoSpaceDN w:val="0"/>
              <w:spacing w:before="143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中文：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31" w:type="dxa"/>
            <w:gridSpan w:val="5"/>
          </w:tcPr>
          <w:p>
            <w:pPr>
              <w:widowControl w:val="0"/>
              <w:autoSpaceDE w:val="0"/>
              <w:autoSpaceDN w:val="0"/>
              <w:spacing w:before="165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英文：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5" w:type="dxa"/>
          </w:tcPr>
          <w:p>
            <w:pPr>
              <w:widowControl w:val="0"/>
              <w:autoSpaceDE w:val="0"/>
              <w:autoSpaceDN w:val="0"/>
              <w:spacing w:before="100" w:after="0" w:line="240" w:lineRule="auto"/>
              <w:ind w:left="275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单位地址</w:t>
            </w:r>
          </w:p>
        </w:tc>
        <w:tc>
          <w:tcPr>
            <w:tcW w:w="2851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8" w:type="dxa"/>
            <w:gridSpan w:val="2"/>
          </w:tcPr>
          <w:p>
            <w:pPr>
              <w:widowControl w:val="0"/>
              <w:autoSpaceDE w:val="0"/>
              <w:autoSpaceDN w:val="0"/>
              <w:spacing w:before="93" w:after="0" w:line="240" w:lineRule="auto"/>
              <w:ind w:left="316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电话</w:t>
            </w:r>
          </w:p>
        </w:tc>
        <w:tc>
          <w:tcPr>
            <w:tcW w:w="32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5" w:type="dxa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275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联 系 人</w:t>
            </w:r>
          </w:p>
        </w:tc>
        <w:tc>
          <w:tcPr>
            <w:tcW w:w="2851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8" w:type="dxa"/>
            <w:gridSpan w:val="2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316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职务</w:t>
            </w:r>
          </w:p>
        </w:tc>
        <w:tc>
          <w:tcPr>
            <w:tcW w:w="32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</w:tcPr>
          <w:p>
            <w:pPr>
              <w:widowControl w:val="0"/>
              <w:tabs>
                <w:tab w:val="left" w:pos="906"/>
              </w:tabs>
              <w:autoSpaceDE w:val="0"/>
              <w:autoSpaceDN w:val="0"/>
              <w:spacing w:before="95" w:after="0" w:line="240" w:lineRule="auto"/>
              <w:ind w:left="275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邮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箱</w:t>
            </w:r>
          </w:p>
        </w:tc>
        <w:tc>
          <w:tcPr>
            <w:tcW w:w="2851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8" w:type="dxa"/>
            <w:gridSpan w:val="2"/>
          </w:tcPr>
          <w:p>
            <w:pPr>
              <w:widowControl w:val="0"/>
              <w:autoSpaceDE w:val="0"/>
              <w:autoSpaceDN w:val="0"/>
              <w:spacing w:before="95" w:after="0" w:line="240" w:lineRule="auto"/>
              <w:ind w:left="316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手机</w:t>
            </w:r>
          </w:p>
        </w:tc>
        <w:tc>
          <w:tcPr>
            <w:tcW w:w="32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40" w:type="dxa"/>
            <w:gridSpan w:val="2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ascii="仿宋" w:hAnsi="仿宋" w:eastAsia="仿宋" w:cs="仿宋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251"/>
              <w:jc w:val="righ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b/>
                <w:w w:val="95"/>
                <w:sz w:val="21"/>
                <w:szCs w:val="22"/>
                <w:lang w:val="zh-CN" w:eastAsia="zh-CN" w:bidi="zh-CN"/>
              </w:rPr>
              <w:t>参赛队伍类型</w:t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(请勾选对应选项)：</w:t>
            </w:r>
          </w:p>
          <w:p>
            <w:pPr>
              <w:widowControl w:val="0"/>
              <w:tabs>
                <w:tab w:val="left" w:pos="1365"/>
              </w:tabs>
              <w:autoSpaceDE w:val="0"/>
              <w:autoSpaceDN w:val="0"/>
              <w:spacing w:before="41" w:after="0" w:line="240" w:lineRule="auto"/>
              <w:ind w:left="0" w:right="273"/>
              <w:jc w:val="righ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□整车企业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□无人驾驶技术开发</w:t>
            </w:r>
          </w:p>
          <w:p>
            <w:pPr>
              <w:widowControl w:val="0"/>
              <w:tabs>
                <w:tab w:val="left" w:pos="1156"/>
                <w:tab w:val="left" w:pos="2522"/>
              </w:tabs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□车联网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□高等院校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□科研机构</w:t>
            </w:r>
          </w:p>
        </w:tc>
        <w:tc>
          <w:tcPr>
            <w:tcW w:w="4886" w:type="dxa"/>
            <w:gridSpan w:val="4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仿宋" w:hAnsi="仿宋" w:eastAsia="仿宋" w:cs="仿宋"/>
                <w:sz w:val="19"/>
                <w:szCs w:val="22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1827"/>
              </w:tabs>
              <w:autoSpaceDE w:val="0"/>
              <w:autoSpaceDN w:val="0"/>
              <w:spacing w:before="0" w:after="0" w:line="240" w:lineRule="auto"/>
              <w:ind w:left="41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□车路协同设备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□计算单元</w:t>
            </w:r>
          </w:p>
          <w:p>
            <w:pPr>
              <w:widowControl w:val="0"/>
              <w:tabs>
                <w:tab w:val="left" w:pos="4818"/>
              </w:tabs>
              <w:autoSpaceDE w:val="0"/>
              <w:autoSpaceDN w:val="0"/>
              <w:spacing w:before="22" w:after="0" w:line="240" w:lineRule="auto"/>
              <w:ind w:left="147" w:right="0"/>
              <w:jc w:val="left"/>
              <w:rPr>
                <w:rFonts w:ascii="Times New Roman" w:hAnsi="Times New Roman" w:eastAsia="Times New Roman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□其它,请注明：</w:t>
            </w:r>
            <w:r>
              <w:rPr>
                <w:rFonts w:ascii="Times New Roman" w:hAnsi="Times New Roman" w:eastAsia="Times New Roman" w:cs="仿宋"/>
                <w:w w:val="95"/>
                <w:sz w:val="21"/>
                <w:szCs w:val="22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Times New Roman" w:hAnsi="Times New Roman" w:eastAsia="Times New Roman" w:cs="仿宋"/>
                <w:sz w:val="21"/>
                <w:szCs w:val="22"/>
                <w:u w:val="single"/>
                <w:lang w:val="zh-CN" w:eastAsia="zh-CN" w:bidi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8526" w:type="dxa"/>
            <w:gridSpan w:val="6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208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b/>
                <w:sz w:val="22"/>
                <w:szCs w:val="22"/>
                <w:lang w:val="zh-CN" w:eastAsia="zh-CN" w:bidi="zh-CN"/>
              </w:rPr>
              <w:t>参与组别：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(请</w:t>
            </w:r>
            <w:r>
              <w:rPr>
                <w:rFonts w:ascii="仿宋" w:hAnsi="仿宋" w:eastAsia="仿宋" w:cs="仿宋"/>
                <w:b/>
                <w:sz w:val="21"/>
                <w:szCs w:val="22"/>
                <w:lang w:val="zh-CN" w:eastAsia="zh-CN" w:bidi="zh-CN"/>
              </w:rPr>
              <w:t>加黑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或</w:t>
            </w:r>
            <w:r>
              <w:rPr>
                <w:rFonts w:ascii="仿宋" w:hAnsi="仿宋" w:eastAsia="仿宋" w:cs="仿宋"/>
                <w:b/>
                <w:sz w:val="21"/>
                <w:szCs w:val="22"/>
                <w:lang w:val="zh-CN" w:eastAsia="zh-CN" w:bidi="zh-CN"/>
              </w:rPr>
              <w:t>勾选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对应选项，可多选；具体内容详见附件 1)</w:t>
            </w:r>
          </w:p>
          <w:p>
            <w:pPr>
              <w:widowControl w:val="0"/>
              <w:tabs>
                <w:tab w:val="left" w:pos="2308"/>
                <w:tab w:val="left" w:pos="4619"/>
              </w:tabs>
              <w:autoSpaceDE w:val="0"/>
              <w:autoSpaceDN w:val="0"/>
              <w:spacing w:before="1" w:after="0" w:line="240" w:lineRule="auto"/>
              <w:ind w:left="208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□测试乘用车组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□量产乘用车组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□路测设备组</w:t>
            </w:r>
          </w:p>
          <w:p>
            <w:pPr>
              <w:widowControl w:val="0"/>
              <w:tabs>
                <w:tab w:val="left" w:pos="2308"/>
                <w:tab w:val="left" w:pos="4619"/>
              </w:tabs>
              <w:autoSpaceDE w:val="0"/>
              <w:autoSpaceDN w:val="0"/>
              <w:spacing w:before="5" w:after="0" w:line="240" w:lineRule="auto"/>
              <w:ind w:left="208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□测试商用车组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□量产商用车组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□车载设备组</w:t>
            </w: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208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□测试特种车辆组</w:t>
            </w:r>
          </w:p>
          <w:p>
            <w:pPr>
              <w:widowControl w:val="0"/>
              <w:tabs>
                <w:tab w:val="left" w:pos="4408"/>
                <w:tab w:val="left" w:pos="5248"/>
              </w:tabs>
              <w:autoSpaceDE w:val="0"/>
              <w:autoSpaceDN w:val="0"/>
              <w:spacing w:before="5" w:after="0" w:line="246" w:lineRule="exact"/>
              <w:ind w:left="208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是否参与“未来出行”展示专区演示体验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是□</w:t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3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68" w:after="0" w:line="240" w:lineRule="auto"/>
              <w:ind w:left="34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车辆信息</w:t>
            </w:r>
          </w:p>
        </w:tc>
        <w:tc>
          <w:tcPr>
            <w:tcW w:w="7131" w:type="dxa"/>
            <w:gridSpan w:val="5"/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107" w:right="0"/>
              <w:jc w:val="left"/>
              <w:rPr>
                <w:rFonts w:ascii="仿宋" w:hAnsi="仿宋" w:eastAsia="仿宋" w:cs="仿宋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b/>
                <w:sz w:val="21"/>
                <w:szCs w:val="22"/>
                <w:lang w:val="zh-CN" w:eastAsia="zh-CN" w:bidi="zh-CN"/>
              </w:rPr>
              <w:t>车型信息：</w:t>
            </w:r>
          </w:p>
          <w:p>
            <w:pPr>
              <w:widowControl w:val="0"/>
              <w:tabs>
                <w:tab w:val="left" w:pos="2521"/>
                <w:tab w:val="left" w:pos="3992"/>
              </w:tabs>
              <w:autoSpaceDE w:val="0"/>
              <w:autoSpaceDN w:val="0"/>
              <w:spacing w:before="16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参与车型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；数量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pacing w:val="-1"/>
                <w:w w:val="95"/>
                <w:sz w:val="21"/>
                <w:szCs w:val="22"/>
                <w:lang w:val="zh-CN" w:eastAsia="zh-CN" w:bidi="zh-CN"/>
              </w:rPr>
              <w:t>辆</w:t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。</w:t>
            </w:r>
          </w:p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仿宋" w:hAnsi="仿宋" w:eastAsia="仿宋" w:cs="仿宋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2521"/>
                <w:tab w:val="left" w:pos="3992"/>
              </w:tabs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参与车型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；数量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zh-CN" w:eastAsia="zh-CN" w:bidi="zh-CN"/>
              </w:rPr>
              <w:tab/>
            </w:r>
            <w:r>
              <w:rPr>
                <w:rFonts w:ascii="仿宋" w:hAnsi="仿宋" w:eastAsia="仿宋" w:cs="仿宋"/>
                <w:spacing w:val="-1"/>
                <w:w w:val="95"/>
                <w:sz w:val="21"/>
                <w:szCs w:val="22"/>
                <w:lang w:val="zh-CN" w:eastAsia="zh-CN" w:bidi="zh-CN"/>
              </w:rPr>
              <w:t>辆</w:t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5" w:type="dxa"/>
            <w:tcBorders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测试车辆组：</w:t>
            </w:r>
          </w:p>
          <w:p>
            <w:pPr>
              <w:widowControl w:val="0"/>
              <w:autoSpaceDE w:val="0"/>
              <w:autoSpaceDN w:val="0"/>
              <w:spacing w:before="16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□启动出发</w:t>
            </w:r>
          </w:p>
        </w:tc>
        <w:tc>
          <w:tcPr>
            <w:tcW w:w="3475" w:type="dxa"/>
            <w:gridSpan w:val="2"/>
            <w:vMerge w:val="restart"/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量产车型组：</w:t>
            </w: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□自适应巡航（ACC）</w:t>
            </w: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□车道保持辅助（LKA）</w:t>
            </w:r>
          </w:p>
          <w:p>
            <w:pPr>
              <w:widowControl w:val="0"/>
              <w:autoSpaceDE w:val="0"/>
              <w:autoSpaceDN w:val="0"/>
              <w:spacing w:before="7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□自动紧急制动（AEB）</w:t>
            </w: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□转向灯控制变道（ALC）</w:t>
            </w: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□交通拥堵辅助（TJA）</w:t>
            </w: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□自适应弯道巡航（ATC）</w:t>
            </w: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2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□自动泊车（APA）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1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06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  <w:t>（测试车辆</w:t>
            </w: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□低速跟车</w:t>
            </w:r>
          </w:p>
          <w:p>
            <w:pPr>
              <w:widowControl w:val="0"/>
              <w:autoSpaceDE w:val="0"/>
              <w:autoSpaceDN w:val="0"/>
              <w:spacing w:before="43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□红绿灯识别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16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10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□两轮车沿道路骑行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ind w:left="206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  <w:t>组至少选择</w:t>
            </w: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72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□行人避让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16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10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□到达指定区域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ind w:left="110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  <w:t>十项；量产车</w:t>
            </w: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72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□最右侧车道靠边停车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16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10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□车辆切入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ind w:left="110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  <w:t>型组至少选择</w:t>
            </w: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72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□十字路口车-车通信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16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10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□长直路车-车通信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ind w:left="424" w:right="0"/>
              <w:jc w:val="left"/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0"/>
                <w:szCs w:val="22"/>
                <w:lang w:val="zh-CN" w:eastAsia="zh-CN" w:bidi="zh-CN"/>
              </w:rPr>
              <w:t>3 项）</w:t>
            </w: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72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□通过环岛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□路口右转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□进入匝道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□超越慢车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66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□障碍物识别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95" w:type="dxa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3656" w:type="dxa"/>
            <w:gridSpan w:val="3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before="16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□车道线识别及响应</w:t>
            </w:r>
          </w:p>
        </w:tc>
        <w:tc>
          <w:tcPr>
            <w:tcW w:w="3475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00" w:right="1440" w:bottom="280" w:left="1580" w:header="720" w:footer="720" w:gutter="0"/>
          <w:cols w:space="720" w:num="1"/>
        </w:sectPr>
      </w:pPr>
    </w:p>
    <w:tbl>
      <w:tblPr>
        <w:tblStyle w:val="2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3654"/>
        <w:gridCol w:w="3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3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654" w:type="dxa"/>
          </w:tcPr>
          <w:p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□垂直停车</w:t>
            </w:r>
          </w:p>
        </w:tc>
        <w:tc>
          <w:tcPr>
            <w:tcW w:w="347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5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联系方式</w:t>
            </w:r>
          </w:p>
        </w:tc>
        <w:tc>
          <w:tcPr>
            <w:tcW w:w="7127" w:type="dxa"/>
            <w:gridSpan w:val="2"/>
          </w:tcPr>
          <w:p>
            <w:pPr>
              <w:widowControl w:val="0"/>
              <w:autoSpaceDE w:val="0"/>
              <w:autoSpaceDN w:val="0"/>
              <w:spacing w:before="35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zh-CN" w:eastAsia="zh-CN" w:bidi="zh-CN"/>
              </w:rPr>
              <w:t>赛事执行单位（北京中汽四方会展有限公司、北京艾迪智联科技有限公司）</w:t>
            </w:r>
          </w:p>
          <w:p>
            <w:pPr>
              <w:widowControl w:val="0"/>
              <w:autoSpaceDE w:val="0"/>
              <w:autoSpaceDN w:val="0"/>
              <w:spacing w:before="163" w:after="0" w:line="278" w:lineRule="auto"/>
              <w:ind w:left="107" w:right="4486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电话：王金博 15001242641 邮箱：</w:t>
            </w:r>
            <w:r>
              <w:rPr>
                <w:rFonts w:ascii="仿宋" w:hAnsi="仿宋" w:eastAsia="仿宋" w:cs="仿宋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ascii="仿宋" w:hAnsi="仿宋" w:eastAsia="仿宋" w:cs="仿宋"/>
                <w:sz w:val="22"/>
                <w:szCs w:val="22"/>
                <w:lang w:val="zh-CN" w:eastAsia="zh-CN" w:bidi="zh-CN"/>
              </w:rPr>
              <w:instrText xml:space="preserve"> HYPERLINK "mailto:ieev@evautoe.com" \h </w:instrText>
            </w:r>
            <w:r>
              <w:rPr>
                <w:rFonts w:ascii="仿宋" w:hAnsi="仿宋" w:eastAsia="仿宋" w:cs="仿宋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ascii="Calibri" w:hAnsi="仿宋" w:eastAsia="Calibri" w:cs="仿宋"/>
                <w:sz w:val="21"/>
                <w:szCs w:val="22"/>
                <w:lang w:val="zh-CN" w:eastAsia="zh-CN" w:bidi="zh-CN"/>
              </w:rPr>
              <w:t>wangjb</w:t>
            </w:r>
            <w:r>
              <w:rPr>
                <w:rFonts w:ascii="仿宋" w:hAnsi="仿宋" w:eastAsia="仿宋" w:cs="仿宋"/>
                <w:color w:val="0000FF"/>
                <w:sz w:val="21"/>
                <w:szCs w:val="22"/>
                <w:u w:val="single" w:color="0000FF"/>
                <w:lang w:val="zh-CN" w:eastAsia="zh-CN" w:bidi="zh-CN"/>
              </w:rPr>
              <w:t>@evautoe.com</w:t>
            </w:r>
            <w:r>
              <w:rPr>
                <w:rFonts w:ascii="仿宋" w:hAnsi="仿宋" w:eastAsia="仿宋" w:cs="仿宋"/>
                <w:color w:val="0000FF"/>
                <w:sz w:val="21"/>
                <w:szCs w:val="22"/>
                <w:u w:val="single" w:color="0000FF"/>
                <w:lang w:val="zh-CN" w:eastAsia="zh-CN" w:bidi="zh-CN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zh-CN" w:eastAsia="zh-CN" w:bidi="zh-CN"/>
              </w:rPr>
              <w:t>地址：北京市丰台区广安路 9 号国投财富广场 1 号楼 511 室（100073）</w:t>
            </w:r>
          </w:p>
        </w:tc>
      </w:tr>
    </w:tbl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仿宋" w:hAnsi="仿宋" w:eastAsia="仿宋" w:cs="仿宋"/>
          <w:sz w:val="13"/>
          <w:szCs w:val="30"/>
          <w:lang w:val="zh-CN" w:eastAsia="zh-CN" w:bidi="zh-CN"/>
        </w:rPr>
      </w:pPr>
    </w:p>
    <w:p>
      <w:pPr>
        <w:autoSpaceDE w:val="0"/>
        <w:autoSpaceDN w:val="0"/>
        <w:spacing w:before="66" w:after="0" w:line="240" w:lineRule="auto"/>
        <w:ind w:left="220" w:right="0" w:firstLine="0"/>
        <w:jc w:val="left"/>
        <w:rPr>
          <w:rFonts w:hint="eastAsia" w:ascii="宋体" w:hAnsi="仿宋" w:eastAsia="宋体" w:cs="仿宋"/>
          <w:kern w:val="0"/>
          <w:sz w:val="24"/>
          <w:szCs w:val="22"/>
          <w:lang w:val="zh-CN" w:bidi="zh-CN"/>
        </w:rPr>
      </w:pPr>
      <w:r>
        <w:rPr>
          <w:rFonts w:hint="eastAsia" w:ascii="宋体" w:hAnsi="仿宋" w:eastAsia="宋体" w:cs="仿宋"/>
          <w:kern w:val="0"/>
          <w:sz w:val="24"/>
          <w:szCs w:val="22"/>
          <w:lang w:val="zh-CN" w:bidi="zh-CN"/>
        </w:rPr>
        <w:t>注：</w:t>
      </w: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宋体" w:hAnsi="仿宋" w:eastAsia="仿宋" w:cs="仿宋"/>
          <w:sz w:val="24"/>
          <w:szCs w:val="30"/>
          <w:lang w:val="zh-CN" w:eastAsia="zh-CN" w:bidi="zh-CN"/>
        </w:rPr>
      </w:pPr>
    </w:p>
    <w:p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0" w:after="0" w:line="364" w:lineRule="auto"/>
        <w:ind w:left="640" w:right="1941" w:hanging="420"/>
        <w:jc w:val="left"/>
        <w:rPr>
          <w:rFonts w:ascii="仿宋" w:hAnsi="仿宋" w:eastAsia="仿宋" w:cs="仿宋"/>
          <w:sz w:val="24"/>
          <w:szCs w:val="22"/>
          <w:lang w:val="zh-CN" w:eastAsia="zh-CN" w:bidi="zh-CN"/>
        </w:rPr>
      </w:pPr>
      <w:r>
        <w:rPr>
          <w:rFonts w:ascii="仿宋" w:hAnsi="仿宋" w:eastAsia="仿宋" w:cs="仿宋"/>
          <w:sz w:val="24"/>
          <w:szCs w:val="22"/>
          <w:lang w:val="zh-CN" w:eastAsia="zh-CN" w:bidi="zh-CN"/>
        </w:rPr>
        <w:t>请将盖章报名表于各赛区报名截止日期前将</w:t>
      </w:r>
      <w:r>
        <w:rPr>
          <w:rFonts w:ascii="仿宋" w:hAnsi="仿宋" w:eastAsia="仿宋" w:cs="仿宋"/>
          <w:b/>
          <w:sz w:val="24"/>
          <w:szCs w:val="22"/>
          <w:lang w:val="zh-CN" w:eastAsia="zh-CN" w:bidi="zh-CN"/>
        </w:rPr>
        <w:t>扫描件</w:t>
      </w:r>
      <w:r>
        <w:rPr>
          <w:rFonts w:ascii="仿宋" w:hAnsi="仿宋" w:eastAsia="仿宋" w:cs="仿宋"/>
          <w:spacing w:val="-4"/>
          <w:sz w:val="24"/>
          <w:szCs w:val="22"/>
          <w:lang w:val="zh-CN" w:eastAsia="zh-CN" w:bidi="zh-CN"/>
        </w:rPr>
        <w:t>发至邮箱：</w:t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fldChar w:fldCharType="begin"/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instrText xml:space="preserve"> HYPERLINK "mailto:ieev@evautoe.com" \h </w:instrText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fldChar w:fldCharType="separate"/>
      </w:r>
      <w:r>
        <w:rPr>
          <w:rFonts w:ascii="仿宋" w:hAnsi="仿宋" w:eastAsia="仿宋" w:cs="仿宋"/>
          <w:spacing w:val="-4"/>
          <w:sz w:val="24"/>
          <w:szCs w:val="22"/>
          <w:lang w:val="zh-CN" w:eastAsia="zh-CN" w:bidi="zh-CN"/>
        </w:rPr>
        <w:t xml:space="preserve"> </w:t>
      </w:r>
      <w:r>
        <w:rPr>
          <w:rFonts w:ascii="仿宋" w:hAnsi="仿宋" w:eastAsia="仿宋" w:cs="仿宋"/>
          <w:sz w:val="24"/>
          <w:szCs w:val="22"/>
          <w:lang w:val="zh-CN" w:eastAsia="zh-CN" w:bidi="zh-CN"/>
        </w:rPr>
        <w:t>ieev@evautoe.com</w:t>
      </w:r>
      <w:r>
        <w:rPr>
          <w:rFonts w:ascii="仿宋" w:hAnsi="仿宋" w:eastAsia="仿宋" w:cs="仿宋"/>
          <w:sz w:val="24"/>
          <w:szCs w:val="22"/>
          <w:lang w:val="zh-CN" w:eastAsia="zh-CN" w:bidi="zh-CN"/>
        </w:rPr>
        <w:fldChar w:fldCharType="end"/>
      </w:r>
      <w:r>
        <w:rPr>
          <w:rFonts w:ascii="仿宋" w:hAnsi="仿宋" w:eastAsia="仿宋" w:cs="仿宋"/>
          <w:sz w:val="24"/>
          <w:szCs w:val="22"/>
          <w:lang w:val="zh-CN" w:eastAsia="zh-CN" w:bidi="zh-CN"/>
        </w:rPr>
        <w:t>。</w:t>
      </w:r>
    </w:p>
    <w:p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81" w:after="0" w:line="240" w:lineRule="auto"/>
        <w:ind w:left="461" w:right="0" w:hanging="241"/>
        <w:jc w:val="left"/>
        <w:rPr>
          <w:rFonts w:ascii="仿宋" w:hAnsi="仿宋" w:eastAsia="仿宋" w:cs="仿宋"/>
          <w:sz w:val="24"/>
          <w:szCs w:val="22"/>
          <w:lang w:val="zh-CN" w:eastAsia="zh-CN" w:bidi="zh-CN"/>
        </w:rPr>
      </w:pPr>
      <w:r>
        <w:rPr>
          <w:rFonts w:ascii="仿宋" w:hAnsi="仿宋" w:eastAsia="仿宋" w:cs="仿宋"/>
          <w:sz w:val="24"/>
          <w:szCs w:val="22"/>
          <w:lang w:val="zh-CN" w:eastAsia="zh-CN" w:bidi="zh-CN"/>
        </w:rPr>
        <w:t>每个赛队附带公司或队伍简介、产品及技术介绍一同发至上述邮箱。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仿宋" w:hAnsi="仿宋" w:eastAsia="仿宋" w:cs="仿宋"/>
          <w:sz w:val="18"/>
          <w:szCs w:val="30"/>
          <w:lang w:val="zh-CN" w:eastAsia="zh-CN" w:bidi="zh-CN"/>
        </w:rPr>
      </w:pPr>
    </w:p>
    <w:p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0" w:after="0" w:line="240" w:lineRule="auto"/>
        <w:ind w:left="461" w:right="0" w:hanging="241"/>
        <w:jc w:val="left"/>
        <w:rPr>
          <w:rFonts w:ascii="仿宋" w:hAnsi="仿宋" w:eastAsia="仿宋" w:cs="仿宋"/>
          <w:sz w:val="24"/>
          <w:szCs w:val="22"/>
          <w:lang w:val="zh-CN" w:eastAsia="zh-CN" w:bidi="zh-CN"/>
        </w:rPr>
      </w:pPr>
      <w:r>
        <w:rPr>
          <w:rFonts w:ascii="仿宋" w:hAnsi="仿宋" w:eastAsia="仿宋" w:cs="仿宋"/>
          <w:spacing w:val="-8"/>
          <w:sz w:val="24"/>
          <w:szCs w:val="22"/>
          <w:lang w:val="zh-CN" w:eastAsia="zh-CN" w:bidi="zh-CN"/>
        </w:rPr>
        <w:t>如有其他疑问和需求，敬请联系赛事执行单位</w:t>
      </w:r>
      <w:r>
        <w:rPr>
          <w:rFonts w:ascii="仿宋" w:hAnsi="仿宋" w:eastAsia="仿宋" w:cs="仿宋"/>
          <w:sz w:val="24"/>
          <w:szCs w:val="22"/>
          <w:lang w:val="zh-CN" w:eastAsia="zh-CN" w:bidi="zh-CN"/>
        </w:rPr>
        <w:t>（北京中汽四方会展有限公司</w:t>
      </w:r>
      <w:r>
        <w:rPr>
          <w:rFonts w:ascii="仿宋" w:hAnsi="仿宋" w:eastAsia="仿宋" w:cs="仿宋"/>
          <w:spacing w:val="-120"/>
          <w:sz w:val="24"/>
          <w:szCs w:val="22"/>
          <w:lang w:val="zh-CN" w:eastAsia="zh-CN" w:bidi="zh-CN"/>
        </w:rPr>
        <w:t>）</w:t>
      </w:r>
      <w:r>
        <w:rPr>
          <w:rFonts w:ascii="仿宋" w:hAnsi="仿宋" w:eastAsia="仿宋" w:cs="仿宋"/>
          <w:sz w:val="24"/>
          <w:szCs w:val="22"/>
          <w:lang w:val="zh-CN" w:eastAsia="zh-CN" w:bidi="zh-CN"/>
        </w:rPr>
        <w:t>。</w:t>
      </w:r>
    </w:p>
    <w:p/>
    <w:sectPr>
      <w:pgSz w:w="11910" w:h="16840"/>
      <w:pgMar w:top="1420" w:right="144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40" w:hanging="241"/>
        <w:jc w:val="left"/>
      </w:pPr>
      <w:rPr>
        <w:rFonts w:hint="default" w:ascii="仿宋" w:hAnsi="仿宋" w:eastAsia="仿宋" w:cs="仿宋"/>
        <w:spacing w:val="-17"/>
        <w:w w:val="99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64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9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3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3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7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36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B62AB"/>
    <w:rsid w:val="5C5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2021-07-15T11:32:00Z</dcterms:created>
  <dc:creator>HIJK</dc:creator>
  <cp:lastModifiedBy>HIJK</cp:lastModifiedBy>
  <dcterms:modified xsi:type="dcterms:W3CDTF">2021-07-15T11:32:57Z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E7AB01004BAC46018B9F363A1AD93710</vt:lpwstr>
  </property>
</Properties>
</file>